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1E3E" w14:textId="0D9618D6" w:rsidR="00495249" w:rsidRPr="00C62B49" w:rsidRDefault="002B70AC">
      <w:pPr>
        <w:spacing w:line="240" w:lineRule="auto"/>
        <w:ind w:firstLine="426"/>
        <w:jc w:val="center"/>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METHODOLOGY FOR DETERMINING THE OVERALL EVALUATION OF </w:t>
      </w:r>
      <w:r w:rsidR="00C62B49">
        <w:rPr>
          <w:rFonts w:ascii="Times New Roman" w:eastAsia="Calibri" w:hAnsi="Times New Roman" w:cs="Times New Roman"/>
          <w:b/>
          <w:bCs/>
          <w:sz w:val="24"/>
          <w:szCs w:val="24"/>
          <w:lang w:val="en-GB"/>
        </w:rPr>
        <w:t>BIDS</w:t>
      </w:r>
    </w:p>
    <w:p w14:paraId="1FF730A7" w14:textId="77777777" w:rsidR="00495249" w:rsidRPr="00C62B49" w:rsidRDefault="002B70AC">
      <w:pPr>
        <w:spacing w:line="240" w:lineRule="auto"/>
        <w:ind w:firstLine="426"/>
        <w:jc w:val="center"/>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in a procedure subject to:</w:t>
      </w:r>
    </w:p>
    <w:p w14:paraId="69124185" w14:textId="69912BD1" w:rsidR="00495249" w:rsidRDefault="002B70AC">
      <w:pPr>
        <w:spacing w:line="240" w:lineRule="auto"/>
        <w:ind w:firstLine="426"/>
        <w:jc w:val="center"/>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w:t>
      </w:r>
      <w:r w:rsidRPr="00C62B49">
        <w:rPr>
          <w:rFonts w:ascii="Times New Roman" w:eastAsia="Calibri" w:hAnsi="Times New Roman" w:cs="Times New Roman"/>
          <w:b/>
          <w:bCs/>
          <w:sz w:val="24"/>
          <w:szCs w:val="24"/>
          <w:lang w:val="en-GB"/>
        </w:rPr>
        <w:t>Supply of liquefied natural gas (LNG) for the needs of Bulgarga</w:t>
      </w:r>
      <w:r w:rsidR="00C62B49">
        <w:rPr>
          <w:rFonts w:ascii="Times New Roman" w:eastAsia="Calibri" w:hAnsi="Times New Roman" w:cs="Times New Roman"/>
          <w:b/>
          <w:bCs/>
          <w:sz w:val="24"/>
          <w:szCs w:val="24"/>
          <w:lang w:val="en-GB"/>
        </w:rPr>
        <w:t>z</w:t>
      </w:r>
      <w:r w:rsidRPr="00C62B49">
        <w:rPr>
          <w:rFonts w:ascii="Times New Roman" w:eastAsia="Calibri" w:hAnsi="Times New Roman" w:cs="Times New Roman"/>
          <w:b/>
          <w:bCs/>
          <w:sz w:val="24"/>
          <w:szCs w:val="24"/>
          <w:lang w:val="en-GB"/>
        </w:rPr>
        <w:t xml:space="preserve"> EAD for the month of </w:t>
      </w:r>
      <w:r w:rsidR="00C37DDD">
        <w:rPr>
          <w:rFonts w:ascii="Times New Roman" w:eastAsia="Calibri" w:hAnsi="Times New Roman" w:cs="Times New Roman"/>
          <w:b/>
          <w:bCs/>
          <w:sz w:val="24"/>
          <w:szCs w:val="24"/>
          <w:lang w:val="en-GB"/>
        </w:rPr>
        <w:t>December</w:t>
      </w:r>
      <w:r w:rsidRPr="00C62B49">
        <w:rPr>
          <w:rFonts w:ascii="Times New Roman" w:eastAsia="Calibri" w:hAnsi="Times New Roman" w:cs="Times New Roman"/>
          <w:b/>
          <w:bCs/>
          <w:sz w:val="24"/>
          <w:szCs w:val="24"/>
          <w:lang w:val="en-GB"/>
        </w:rPr>
        <w:t xml:space="preserve"> 2022</w:t>
      </w:r>
      <w:r w:rsidRPr="00C62B49">
        <w:rPr>
          <w:rFonts w:ascii="Times New Roman" w:eastAsia="Calibri" w:hAnsi="Times New Roman" w:cs="Times New Roman"/>
          <w:sz w:val="24"/>
          <w:szCs w:val="24"/>
          <w:lang w:val="en-GB"/>
        </w:rPr>
        <w:t>"</w:t>
      </w:r>
    </w:p>
    <w:p w14:paraId="014AE9F0" w14:textId="77777777" w:rsidR="00880FB9" w:rsidRPr="00C62B49" w:rsidRDefault="00880FB9">
      <w:pPr>
        <w:spacing w:line="240" w:lineRule="auto"/>
        <w:ind w:firstLine="426"/>
        <w:jc w:val="center"/>
        <w:rPr>
          <w:rFonts w:ascii="Times New Roman" w:eastAsia="Calibri" w:hAnsi="Times New Roman" w:cs="Times New Roman"/>
          <w:sz w:val="24"/>
          <w:szCs w:val="24"/>
          <w:lang w:val="en-GB"/>
        </w:rPr>
      </w:pPr>
    </w:p>
    <w:p w14:paraId="5AB3246C" w14:textId="31FD5D14" w:rsidR="00880FB9" w:rsidRDefault="00880FB9" w:rsidP="00880FB9">
      <w:pPr>
        <w:pStyle w:val="ListParagraph"/>
        <w:numPr>
          <w:ilvl w:val="0"/>
          <w:numId w:val="3"/>
        </w:numPr>
        <w:rPr>
          <w:rFonts w:ascii="Times New Roman" w:eastAsia="Calibri" w:hAnsi="Times New Roman" w:cs="Times New Roman"/>
          <w:b/>
          <w:bCs/>
          <w:sz w:val="24"/>
          <w:szCs w:val="24"/>
          <w:lang w:val="en-GB"/>
        </w:rPr>
      </w:pPr>
      <w:r w:rsidRPr="00F80FFA">
        <w:rPr>
          <w:rFonts w:ascii="Times New Roman" w:eastAsia="Calibri" w:hAnsi="Times New Roman" w:cs="Times New Roman"/>
          <w:b/>
          <w:bCs/>
          <w:sz w:val="24"/>
          <w:szCs w:val="24"/>
          <w:lang w:val="en-GB"/>
        </w:rPr>
        <w:t xml:space="preserve">The complex evaluation </w:t>
      </w:r>
      <w:r>
        <w:rPr>
          <w:rFonts w:ascii="Times New Roman" w:eastAsia="Calibri" w:hAnsi="Times New Roman" w:cs="Times New Roman"/>
          <w:b/>
          <w:bCs/>
          <w:sz w:val="24"/>
          <w:szCs w:val="24"/>
          <w:lang w:val="en-GB"/>
        </w:rPr>
        <w:t xml:space="preserve">(CE) </w:t>
      </w:r>
      <w:r w:rsidRPr="00F80FFA">
        <w:rPr>
          <w:rFonts w:ascii="Times New Roman" w:eastAsia="Calibri" w:hAnsi="Times New Roman" w:cs="Times New Roman"/>
          <w:b/>
          <w:bCs/>
          <w:sz w:val="24"/>
          <w:szCs w:val="24"/>
          <w:lang w:val="en-GB"/>
        </w:rPr>
        <w:t>of offers</w:t>
      </w:r>
      <w:r>
        <w:rPr>
          <w:rFonts w:ascii="Times New Roman" w:eastAsia="Calibri" w:hAnsi="Times New Roman" w:cs="Times New Roman"/>
          <w:b/>
          <w:bCs/>
          <w:sz w:val="24"/>
          <w:szCs w:val="24"/>
          <w:lang w:val="en-GB"/>
        </w:rPr>
        <w:t xml:space="preserve"> for liquifies natural gas (LNG)</w:t>
      </w:r>
      <w:r w:rsidRPr="00F80FFA">
        <w:rPr>
          <w:rFonts w:ascii="Times New Roman" w:eastAsia="Calibri" w:hAnsi="Times New Roman" w:cs="Times New Roman"/>
          <w:b/>
          <w:bCs/>
          <w:sz w:val="24"/>
          <w:szCs w:val="24"/>
          <w:lang w:val="en-GB"/>
        </w:rPr>
        <w:t xml:space="preserve"> is determined as the sum of two indicators according to the formula:</w:t>
      </w:r>
    </w:p>
    <w:p w14:paraId="258925EB" w14:textId="77777777" w:rsidR="00880FB9" w:rsidRDefault="00880FB9" w:rsidP="00880FB9">
      <w:pPr>
        <w:pStyle w:val="ListParagraph"/>
        <w:ind w:left="1440" w:firstLine="0"/>
        <w:rPr>
          <w:rFonts w:ascii="Times New Roman" w:eastAsia="Calibri" w:hAnsi="Times New Roman" w:cs="Times New Roman"/>
          <w:b/>
          <w:bCs/>
          <w:sz w:val="24"/>
          <w:szCs w:val="24"/>
          <w:lang w:val="en-GB"/>
        </w:rPr>
      </w:pPr>
    </w:p>
    <w:p w14:paraId="19807B52" w14:textId="77777777" w:rsidR="00880FB9" w:rsidRDefault="00880FB9" w:rsidP="00880FB9">
      <w:pPr>
        <w:pStyle w:val="ListParagraph"/>
        <w:ind w:left="1440" w:hanging="731"/>
        <w:rPr>
          <w:rFonts w:ascii="Times New Roman" w:eastAsia="Calibri" w:hAnsi="Times New Roman" w:cs="Times New Roman"/>
          <w:b/>
          <w:bCs/>
          <w:sz w:val="24"/>
          <w:szCs w:val="24"/>
          <w:lang w:val="en-GB"/>
        </w:rPr>
      </w:pPr>
      <w:r w:rsidRPr="00313C92">
        <w:rPr>
          <w:rFonts w:ascii="Times New Roman" w:eastAsia="Calibri" w:hAnsi="Times New Roman" w:cs="Times New Roman"/>
          <w:b/>
          <w:bCs/>
          <w:sz w:val="24"/>
          <w:szCs w:val="24"/>
          <w:lang w:val="en-GB"/>
        </w:rPr>
        <w:t>CE=K1+K2</w:t>
      </w:r>
    </w:p>
    <w:p w14:paraId="7107AF2F" w14:textId="77777777" w:rsidR="00880FB9" w:rsidRDefault="00880FB9" w:rsidP="00880FB9">
      <w:pPr>
        <w:pStyle w:val="ListParagraph"/>
        <w:ind w:left="1440" w:hanging="731"/>
        <w:rPr>
          <w:rFonts w:ascii="Times New Roman" w:eastAsia="Calibri" w:hAnsi="Times New Roman" w:cs="Times New Roman"/>
          <w:b/>
          <w:bCs/>
          <w:sz w:val="24"/>
          <w:szCs w:val="24"/>
          <w:lang w:val="en-GB"/>
        </w:rPr>
      </w:pPr>
    </w:p>
    <w:p w14:paraId="4ED89955" w14:textId="77777777" w:rsidR="00880FB9" w:rsidRDefault="00880FB9" w:rsidP="00880FB9">
      <w:pPr>
        <w:pStyle w:val="ListParagraph"/>
        <w:ind w:left="1440" w:hanging="731"/>
        <w:rPr>
          <w:rFonts w:ascii="Times New Roman" w:eastAsia="Calibri" w:hAnsi="Times New Roman" w:cs="Times New Roman"/>
          <w:sz w:val="24"/>
          <w:szCs w:val="24"/>
          <w:lang w:val="en-GB"/>
        </w:rPr>
      </w:pPr>
      <w:r w:rsidRPr="00F80FFA">
        <w:rPr>
          <w:rFonts w:ascii="Times New Roman" w:eastAsia="Calibri" w:hAnsi="Times New Roman" w:cs="Times New Roman"/>
          <w:sz w:val="24"/>
          <w:szCs w:val="24"/>
          <w:lang w:val="en-GB"/>
        </w:rPr>
        <w:t>Where:</w:t>
      </w:r>
    </w:p>
    <w:p w14:paraId="667F2413" w14:textId="77777777" w:rsidR="00880FB9" w:rsidRPr="00F80FFA" w:rsidRDefault="00880FB9" w:rsidP="00880FB9">
      <w:pPr>
        <w:pStyle w:val="ListParagraph"/>
        <w:ind w:left="1440" w:hanging="731"/>
        <w:rPr>
          <w:rFonts w:ascii="Times New Roman" w:eastAsia="Calibri" w:hAnsi="Times New Roman" w:cs="Times New Roman"/>
          <w:sz w:val="24"/>
          <w:szCs w:val="24"/>
          <w:lang w:val="en-GB"/>
        </w:rPr>
      </w:pPr>
    </w:p>
    <w:p w14:paraId="3697D0B5" w14:textId="77777777" w:rsidR="00880FB9" w:rsidRPr="00C62B49" w:rsidRDefault="00880FB9" w:rsidP="00880FB9">
      <w:pPr>
        <w:spacing w:after="0" w:line="36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K1 is the proposed price</w:t>
      </w:r>
    </w:p>
    <w:p w14:paraId="35A7358C" w14:textId="1724605A" w:rsidR="00880FB9" w:rsidRPr="00C62B49" w:rsidRDefault="00880FB9" w:rsidP="00880FB9">
      <w:pPr>
        <w:spacing w:after="0" w:line="36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K2 are the proposed payment terms</w:t>
      </w:r>
    </w:p>
    <w:p w14:paraId="1A46F4E8" w14:textId="77777777" w:rsidR="00495249" w:rsidRPr="00C62B49" w:rsidRDefault="002B70AC">
      <w:pPr>
        <w:spacing w:line="257" w:lineRule="auto"/>
        <w:ind w:firstLine="720"/>
        <w:jc w:val="both"/>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For purposes of evaluation, the TTF front month discount to bids whose prices reference the Henry Hub (HH) (in USD per MMBtu) will be determined as follows: </w:t>
      </w:r>
    </w:p>
    <w:p w14:paraId="2F2E19F6" w14:textId="77777777" w:rsidR="00495249" w:rsidRPr="00C62B49" w:rsidRDefault="002B70AC">
      <w:pPr>
        <w:pStyle w:val="ListParagraph"/>
        <w:numPr>
          <w:ilvl w:val="0"/>
          <w:numId w:val="2"/>
        </w:numPr>
        <w:tabs>
          <w:tab w:val="left" w:pos="993"/>
        </w:tabs>
        <w:spacing w:line="257" w:lineRule="auto"/>
        <w:ind w:left="0" w:firstLine="709"/>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The bid price referencing HH will be calculated in dollars per MWh using the HH index as of the bid opening date and a 0.293071 conversion factor from MMBtu to MWh; </w:t>
      </w:r>
    </w:p>
    <w:p w14:paraId="16A6B641" w14:textId="023F4513" w:rsidR="00495249" w:rsidRPr="00C62B49" w:rsidRDefault="002B70AC">
      <w:pPr>
        <w:pStyle w:val="ListParagraph"/>
        <w:numPr>
          <w:ilvl w:val="0"/>
          <w:numId w:val="2"/>
        </w:numPr>
        <w:tabs>
          <w:tab w:val="left" w:pos="993"/>
        </w:tabs>
        <w:spacing w:line="257" w:lineRule="auto"/>
        <w:ind w:left="0" w:firstLine="709"/>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 xml:space="preserve">Once the price in dollars has been determined, it will be converted into Euro at the ECB rate on the day of the opening of tenders. From the TTF front month </w:t>
      </w:r>
      <w:r>
        <w:rPr>
          <w:rFonts w:ascii="Times New Roman" w:eastAsia="Times New Roman" w:hAnsi="Times New Roman" w:cs="Times New Roman"/>
          <w:color w:val="000000" w:themeColor="text1"/>
          <w:sz w:val="24"/>
          <w:szCs w:val="24"/>
          <w:lang w:val="en-GB"/>
        </w:rPr>
        <w:t>December</w:t>
      </w:r>
      <w:r w:rsidRPr="00C62B49">
        <w:rPr>
          <w:rFonts w:ascii="Times New Roman" w:eastAsia="Times New Roman" w:hAnsi="Times New Roman" w:cs="Times New Roman"/>
          <w:color w:val="000000" w:themeColor="text1"/>
          <w:sz w:val="24"/>
          <w:szCs w:val="24"/>
          <w:lang w:val="en-GB"/>
        </w:rPr>
        <w:t xml:space="preserve"> index in force at the date of opening of the tender, the resulting price in euro will be deducted in order to determine the discount.</w:t>
      </w:r>
    </w:p>
    <w:p w14:paraId="46FF39DD"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14AAA4D2" w14:textId="77777777" w:rsidR="00495249" w:rsidRPr="00C62B49" w:rsidRDefault="002B70AC">
      <w:pPr>
        <w:spacing w:after="0" w:line="24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The score for each indicator is determined as follows:</w:t>
      </w:r>
    </w:p>
    <w:p w14:paraId="021E5E81"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7181D185" w14:textId="77777777" w:rsidR="00495249" w:rsidRPr="00C62B49" w:rsidRDefault="002B70AC">
      <w:pPr>
        <w:ind w:left="36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u w:val="single"/>
          <w:lang w:val="en-GB"/>
        </w:rPr>
        <w:t xml:space="preserve">K1 Price </w:t>
      </w:r>
      <w:r w:rsidR="00046355" w:rsidRPr="00C62B49">
        <w:rPr>
          <w:rFonts w:ascii="Times New Roman" w:eastAsia="Calibri" w:hAnsi="Times New Roman" w:cs="Times New Roman"/>
          <w:b/>
          <w:bCs/>
          <w:sz w:val="24"/>
          <w:szCs w:val="24"/>
          <w:u w:val="single"/>
          <w:lang w:val="en-GB"/>
        </w:rPr>
        <w:t xml:space="preserve">proposal </w:t>
      </w:r>
      <w:r w:rsidRPr="00C62B49">
        <w:rPr>
          <w:rFonts w:ascii="Times New Roman" w:eastAsia="Calibri" w:hAnsi="Times New Roman" w:cs="Times New Roman"/>
          <w:b/>
          <w:bCs/>
          <w:sz w:val="24"/>
          <w:szCs w:val="24"/>
          <w:lang w:val="en-GB"/>
        </w:rPr>
        <w:t>- relative weight in the complex evaluation 80%</w:t>
      </w:r>
    </w:p>
    <w:p w14:paraId="1C4FD53A" w14:textId="72DCA75D" w:rsidR="00495249" w:rsidRPr="00C62B49" w:rsidRDefault="002B70AC">
      <w:pPr>
        <w:ind w:firstLine="36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 xml:space="preserve">The maximum possible number of points </w:t>
      </w:r>
      <w:r w:rsidR="007213A6" w:rsidRPr="00C62B49">
        <w:rPr>
          <w:rFonts w:ascii="Times New Roman" w:eastAsia="Calibri" w:hAnsi="Times New Roman" w:cs="Times New Roman"/>
          <w:b/>
          <w:bCs/>
          <w:sz w:val="24"/>
          <w:szCs w:val="24"/>
          <w:lang w:val="en-GB"/>
        </w:rPr>
        <w:t xml:space="preserve">under indicator </w:t>
      </w:r>
      <w:r w:rsidR="002116C6" w:rsidRPr="00C62B49">
        <w:rPr>
          <w:rFonts w:ascii="Times New Roman" w:eastAsia="Calibri" w:hAnsi="Times New Roman" w:cs="Times New Roman"/>
          <w:b/>
          <w:bCs/>
          <w:sz w:val="24"/>
          <w:szCs w:val="24"/>
          <w:lang w:val="en-GB"/>
        </w:rPr>
        <w:t xml:space="preserve">K1 </w:t>
      </w:r>
      <w:r w:rsidR="007213A6" w:rsidRPr="00C62B49">
        <w:rPr>
          <w:rFonts w:ascii="Times New Roman" w:eastAsia="Calibri" w:hAnsi="Times New Roman" w:cs="Times New Roman"/>
          <w:b/>
          <w:bCs/>
          <w:sz w:val="24"/>
          <w:szCs w:val="24"/>
          <w:lang w:val="en-GB"/>
        </w:rPr>
        <w:t xml:space="preserve">in the </w:t>
      </w:r>
      <w:r w:rsidRPr="00C62B49">
        <w:rPr>
          <w:rFonts w:ascii="Times New Roman" w:eastAsia="Calibri" w:hAnsi="Times New Roman" w:cs="Times New Roman"/>
          <w:b/>
          <w:bCs/>
          <w:sz w:val="24"/>
          <w:szCs w:val="24"/>
          <w:lang w:val="en-GB"/>
        </w:rPr>
        <w:t xml:space="preserve">complex evaluation - </w:t>
      </w:r>
      <w:r w:rsidRPr="00C62B49">
        <w:rPr>
          <w:rFonts w:ascii="Times New Roman" w:eastAsia="Calibri" w:hAnsi="Times New Roman" w:cs="Times New Roman"/>
          <w:b/>
          <w:sz w:val="24"/>
          <w:szCs w:val="24"/>
          <w:lang w:val="en-GB"/>
        </w:rPr>
        <w:t>80 points</w:t>
      </w:r>
      <w:r w:rsidRPr="00C62B49">
        <w:rPr>
          <w:rFonts w:ascii="Times New Roman" w:eastAsia="Calibri" w:hAnsi="Times New Roman" w:cs="Times New Roman"/>
          <w:sz w:val="24"/>
          <w:szCs w:val="24"/>
          <w:lang w:val="en-GB"/>
        </w:rPr>
        <w:t xml:space="preserve">, will be awarded to the bid of the participant who has offered the highest discount in EUR per MWh to the TTF front month </w:t>
      </w:r>
      <w:r>
        <w:rPr>
          <w:rFonts w:ascii="Times New Roman" w:eastAsia="Calibri" w:hAnsi="Times New Roman" w:cs="Times New Roman"/>
          <w:sz w:val="24"/>
          <w:szCs w:val="24"/>
          <w:lang w:val="en-GB"/>
        </w:rPr>
        <w:t>December</w:t>
      </w:r>
      <w:r w:rsidRPr="00C62B49">
        <w:rPr>
          <w:rFonts w:ascii="Times New Roman" w:eastAsia="Calibri" w:hAnsi="Times New Roman" w:cs="Times New Roman"/>
          <w:sz w:val="24"/>
          <w:szCs w:val="24"/>
          <w:lang w:val="en-GB"/>
        </w:rPr>
        <w:t xml:space="preserve"> (in EUR per MWh).</w:t>
      </w:r>
    </w:p>
    <w:p w14:paraId="3DB3D9ED" w14:textId="77777777" w:rsidR="00495249" w:rsidRPr="00C62B49" w:rsidRDefault="002B70AC">
      <w:pPr>
        <w:ind w:firstLine="36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score for this indicator is calculated using the formula </w:t>
      </w:r>
      <w:r w:rsidRPr="00C62B49">
        <w:rPr>
          <w:rFonts w:ascii="Times New Roman" w:eastAsia="Calibri" w:hAnsi="Times New Roman" w:cs="Times New Roman"/>
          <w:b/>
          <w:bCs/>
          <w:sz w:val="24"/>
          <w:szCs w:val="24"/>
          <w:lang w:val="en-GB"/>
        </w:rPr>
        <w:t>K1=(</w:t>
      </w:r>
      <w:bookmarkStart w:id="0" w:name="_Hlk114431077"/>
      <w:r w:rsidRPr="00C62B49">
        <w:rPr>
          <w:rFonts w:ascii="Times New Roman" w:eastAsia="Calibri" w:hAnsi="Times New Roman" w:cs="Times New Roman"/>
          <w:b/>
          <w:bCs/>
          <w:sz w:val="24"/>
          <w:szCs w:val="24"/>
          <w:lang w:val="en-GB"/>
        </w:rPr>
        <w:t xml:space="preserve"> nX</w:t>
      </w:r>
      <w:bookmarkEnd w:id="0"/>
      <w:r w:rsidRPr="00C62B49">
        <w:rPr>
          <w:rFonts w:ascii="Times New Roman" w:eastAsia="Calibri" w:hAnsi="Times New Roman" w:cs="Times New Roman"/>
          <w:b/>
          <w:bCs/>
          <w:sz w:val="24"/>
          <w:szCs w:val="24"/>
          <w:lang w:val="en-GB"/>
        </w:rPr>
        <w:t xml:space="preserve"> /nMax)</w:t>
      </w:r>
      <w:r w:rsidRPr="00C62B49">
        <w:rPr>
          <w:rFonts w:ascii="Times New Roman" w:eastAsia="Calibri" w:hAnsi="Times New Roman" w:cs="Times New Roman"/>
          <w:b/>
          <w:sz w:val="24"/>
          <w:szCs w:val="24"/>
          <w:lang w:val="en-GB"/>
        </w:rPr>
        <w:t>*80</w:t>
      </w:r>
      <w:r w:rsidRPr="00C62B49">
        <w:rPr>
          <w:rFonts w:ascii="Times New Roman" w:eastAsia="Calibri" w:hAnsi="Times New Roman" w:cs="Times New Roman"/>
          <w:sz w:val="24"/>
          <w:szCs w:val="24"/>
          <w:lang w:val="en-GB"/>
        </w:rPr>
        <w:t>, where:</w:t>
      </w:r>
    </w:p>
    <w:p w14:paraId="37BC3A5B" w14:textId="77777777" w:rsidR="00495249" w:rsidRPr="00C62B49" w:rsidRDefault="002B70AC">
      <w:pPr>
        <w:pStyle w:val="ListParagraph"/>
        <w:numPr>
          <w:ilvl w:val="0"/>
          <w:numId w:val="1"/>
        </w:numPr>
        <w:rPr>
          <w:rFonts w:ascii="Times New Roman" w:eastAsia="Calibri" w:hAnsi="Times New Roman" w:cs="Times New Roman"/>
          <w:b/>
          <w:bCs/>
          <w:sz w:val="24"/>
          <w:szCs w:val="24"/>
          <w:lang w:val="en-GB"/>
        </w:rPr>
      </w:pPr>
      <w:r w:rsidRPr="00C62B49">
        <w:rPr>
          <w:rFonts w:ascii="Times New Roman" w:eastAsia="Calibri" w:hAnsi="Times New Roman" w:cs="Times New Roman"/>
          <w:sz w:val="24"/>
          <w:szCs w:val="24"/>
          <w:lang w:val="en-GB"/>
        </w:rPr>
        <w:t xml:space="preserve">nX is the TTF FM discount </w:t>
      </w:r>
      <w:r w:rsidRPr="00C62B49">
        <w:rPr>
          <w:rFonts w:ascii="Times New Roman" w:eastAsia="Calibri" w:hAnsi="Times New Roman" w:cs="Times New Roman"/>
          <w:bCs/>
          <w:sz w:val="24"/>
          <w:szCs w:val="24"/>
          <w:lang w:val="en-GB"/>
        </w:rPr>
        <w:t xml:space="preserve">of </w:t>
      </w:r>
      <w:r w:rsidRPr="00C62B49">
        <w:rPr>
          <w:rFonts w:ascii="Times New Roman" w:eastAsia="Calibri" w:hAnsi="Times New Roman" w:cs="Times New Roman"/>
          <w:sz w:val="24"/>
          <w:szCs w:val="24"/>
          <w:lang w:val="en-GB"/>
        </w:rPr>
        <w:t>the specific participant</w:t>
      </w:r>
    </w:p>
    <w:p w14:paraId="4B17860E" w14:textId="77777777" w:rsidR="00495249" w:rsidRPr="00C62B49" w:rsidRDefault="002B70AC">
      <w:pPr>
        <w:pStyle w:val="ListParagraph"/>
        <w:numPr>
          <w:ilvl w:val="0"/>
          <w:numId w:val="1"/>
        </w:numPr>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nMax is the offer with the highest discount offered by TTF front month</w:t>
      </w:r>
    </w:p>
    <w:p w14:paraId="08378CEB" w14:textId="77777777" w:rsidR="00A343F3" w:rsidRPr="00C62B49" w:rsidRDefault="00A343F3" w:rsidP="00A343F3">
      <w:pPr>
        <w:ind w:left="851"/>
        <w:rPr>
          <w:rFonts w:ascii="Times New Roman" w:eastAsia="Calibri" w:hAnsi="Times New Roman" w:cs="Times New Roman"/>
          <w:b/>
          <w:bCs/>
          <w:sz w:val="24"/>
          <w:szCs w:val="24"/>
          <w:lang w:val="en-GB"/>
        </w:rPr>
      </w:pPr>
    </w:p>
    <w:p w14:paraId="607EAE7C" w14:textId="77777777" w:rsidR="00495249" w:rsidRPr="00C62B49" w:rsidRDefault="002B70AC">
      <w:pPr>
        <w:ind w:left="360"/>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u w:val="single"/>
          <w:lang w:val="en-GB"/>
        </w:rPr>
        <w:t xml:space="preserve">K2 Payment terms </w:t>
      </w:r>
      <w:r w:rsidRPr="00C62B49">
        <w:rPr>
          <w:rFonts w:ascii="Times New Roman" w:eastAsia="Calibri" w:hAnsi="Times New Roman" w:cs="Times New Roman"/>
          <w:b/>
          <w:bCs/>
          <w:sz w:val="24"/>
          <w:szCs w:val="24"/>
          <w:lang w:val="en-GB"/>
        </w:rPr>
        <w:t>- relative weight in the complex evaluation 20%</w:t>
      </w:r>
    </w:p>
    <w:p w14:paraId="76F8BE5C" w14:textId="77777777" w:rsidR="00495249" w:rsidRPr="00C62B49" w:rsidRDefault="002B70AC">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score for this indicator shall be based on the sum of two sub-indicators, using the formula </w:t>
      </w:r>
      <w:r w:rsidRPr="00C62B49">
        <w:rPr>
          <w:rFonts w:ascii="Times New Roman" w:eastAsia="Calibri" w:hAnsi="Times New Roman" w:cs="Times New Roman"/>
          <w:b/>
          <w:bCs/>
          <w:sz w:val="24"/>
          <w:szCs w:val="24"/>
          <w:lang w:val="en-GB"/>
        </w:rPr>
        <w:t xml:space="preserve">K2=K2.1+K2.2, </w:t>
      </w:r>
      <w:r w:rsidRPr="00C62B49">
        <w:rPr>
          <w:rFonts w:ascii="Times New Roman" w:eastAsia="Calibri" w:hAnsi="Times New Roman" w:cs="Times New Roman"/>
          <w:sz w:val="24"/>
          <w:szCs w:val="24"/>
          <w:lang w:val="en-GB"/>
        </w:rPr>
        <w:t>where:</w:t>
      </w:r>
    </w:p>
    <w:p w14:paraId="3FABBE2B" w14:textId="77777777" w:rsidR="00495249" w:rsidRPr="00C62B49" w:rsidRDefault="002B70AC">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K2.1 </w:t>
      </w:r>
      <w:r w:rsidRPr="00C62B49">
        <w:rPr>
          <w:rFonts w:ascii="Times New Roman" w:eastAsia="Calibri" w:hAnsi="Times New Roman" w:cs="Times New Roman"/>
          <w:sz w:val="24"/>
          <w:szCs w:val="24"/>
          <w:lang w:val="en-GB"/>
        </w:rPr>
        <w:t>is the amount of the advance payment in % of the price</w:t>
      </w:r>
    </w:p>
    <w:p w14:paraId="3AAB3D15" w14:textId="77777777" w:rsidR="00495249" w:rsidRPr="00C62B49" w:rsidRDefault="002B70AC">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K2.2 </w:t>
      </w:r>
      <w:r w:rsidRPr="00C62B49">
        <w:rPr>
          <w:rFonts w:ascii="Times New Roman" w:eastAsia="Calibri" w:hAnsi="Times New Roman" w:cs="Times New Roman"/>
          <w:sz w:val="24"/>
          <w:szCs w:val="24"/>
          <w:lang w:val="en-GB"/>
        </w:rPr>
        <w:t>is the time limit for payment of the price after delivery, specified in days.</w:t>
      </w:r>
    </w:p>
    <w:p w14:paraId="565310B7" w14:textId="77777777" w:rsidR="00495249" w:rsidRPr="00C62B49" w:rsidRDefault="002B70AC">
      <w:pPr>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lastRenderedPageBreak/>
        <w:t xml:space="preserve">The maximum possible number of points under indicator K2 </w:t>
      </w:r>
      <w:r w:rsidR="002116C6" w:rsidRPr="00C62B49">
        <w:rPr>
          <w:rFonts w:ascii="Times New Roman" w:eastAsia="Calibri" w:hAnsi="Times New Roman" w:cs="Times New Roman"/>
          <w:b/>
          <w:bCs/>
          <w:sz w:val="24"/>
          <w:szCs w:val="24"/>
          <w:lang w:val="en-GB"/>
        </w:rPr>
        <w:t xml:space="preserve">in the complex evaluation </w:t>
      </w:r>
      <w:r w:rsidRPr="00C62B49">
        <w:rPr>
          <w:rFonts w:ascii="Times New Roman" w:eastAsia="Calibri" w:hAnsi="Times New Roman" w:cs="Times New Roman"/>
          <w:b/>
          <w:bCs/>
          <w:sz w:val="24"/>
          <w:szCs w:val="24"/>
          <w:lang w:val="en-GB"/>
        </w:rPr>
        <w:t xml:space="preserve">- 20 </w:t>
      </w:r>
      <w:r w:rsidRPr="00C62B49">
        <w:rPr>
          <w:rFonts w:ascii="Times New Roman" w:eastAsia="Calibri" w:hAnsi="Times New Roman" w:cs="Times New Roman"/>
          <w:b/>
          <w:sz w:val="24"/>
          <w:szCs w:val="24"/>
          <w:lang w:val="en-GB"/>
        </w:rPr>
        <w:t>points</w:t>
      </w:r>
      <w:r w:rsidR="002116C6" w:rsidRPr="00C62B49">
        <w:rPr>
          <w:rFonts w:ascii="Times New Roman" w:eastAsia="Calibri" w:hAnsi="Times New Roman" w:cs="Times New Roman"/>
          <w:b/>
          <w:sz w:val="24"/>
          <w:szCs w:val="24"/>
          <w:lang w:val="en-GB"/>
        </w:rPr>
        <w:t xml:space="preserve">, </w:t>
      </w:r>
      <w:r w:rsidRPr="00C62B49">
        <w:rPr>
          <w:rFonts w:ascii="Times New Roman" w:eastAsia="Calibri" w:hAnsi="Times New Roman" w:cs="Times New Roman"/>
          <w:sz w:val="24"/>
          <w:szCs w:val="24"/>
          <w:lang w:val="en-GB"/>
        </w:rPr>
        <w:t>will be awarded to the bid of the participant who has offered the most advantageous payment terms. The most advantageous payment terms shall be: the lowest advance payment percentage and the longest payment period after delivery.</w:t>
      </w:r>
    </w:p>
    <w:p w14:paraId="4BB51E43" w14:textId="77777777" w:rsidR="00495249" w:rsidRPr="00C62B49" w:rsidRDefault="002B70AC">
      <w:pPr>
        <w:pStyle w:val="ListParagraph"/>
        <w:spacing w:after="240"/>
        <w:ind w:left="284" w:firstLine="0"/>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Method of assessment for sub-indicators K2.1 and K2.2:</w:t>
      </w:r>
    </w:p>
    <w:tbl>
      <w:tblPr>
        <w:tblW w:w="9346" w:type="dxa"/>
        <w:tblLook w:val="04A0" w:firstRow="1" w:lastRow="0" w:firstColumn="1" w:lastColumn="0" w:noHBand="0" w:noVBand="1"/>
      </w:tblPr>
      <w:tblGrid>
        <w:gridCol w:w="7928"/>
        <w:gridCol w:w="1418"/>
      </w:tblGrid>
      <w:tr w:rsidR="00A343F3" w:rsidRPr="00C62B49" w14:paraId="6040095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56CBC0" w14:textId="77777777" w:rsidR="00495249" w:rsidRPr="00C62B49" w:rsidRDefault="002B70AC">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 xml:space="preserve">K2.1 Advance payment </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62D375AA" w14:textId="77777777" w:rsidR="00495249" w:rsidRPr="00C62B49" w:rsidRDefault="002B70AC">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Points</w:t>
            </w:r>
          </w:p>
        </w:tc>
      </w:tr>
      <w:tr w:rsidR="00A343F3" w:rsidRPr="00C62B49" w14:paraId="1FCEF526"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55F0C5" w14:textId="64B73C05" w:rsidR="00495249" w:rsidRPr="00C62B49" w:rsidRDefault="002B70AC">
            <w:pPr>
              <w:spacing w:after="0"/>
              <w:jc w:val="center"/>
              <w:rPr>
                <w:rFonts w:ascii="Times New Roman" w:eastAsia="Times New Roman" w:hAnsi="Times New Roman" w:cs="Times New Roman"/>
                <w:b/>
                <w:bCs/>
                <w:color w:val="000000"/>
                <w:sz w:val="24"/>
                <w:szCs w:val="24"/>
                <w:lang w:val="en-GB"/>
              </w:rPr>
            </w:pPr>
            <w:r w:rsidRPr="00C62B49">
              <w:rPr>
                <w:rFonts w:ascii="Times New Roman" w:eastAsia="Calibri" w:hAnsi="Times New Roman" w:cs="Times New Roman"/>
                <w:sz w:val="24"/>
                <w:szCs w:val="24"/>
                <w:lang w:val="en-GB"/>
              </w:rPr>
              <w:t>The relative weight of sub-indicator K2.1 is 1/2 of the weight of indicator K2 or 10% weight in the C</w:t>
            </w:r>
            <w:r w:rsidR="00BC5D7D">
              <w:rPr>
                <w:rFonts w:ascii="Times New Roman" w:eastAsia="Calibri" w:hAnsi="Times New Roman" w:cs="Times New Roman"/>
                <w:sz w:val="24"/>
                <w:szCs w:val="24"/>
                <w:lang w:val="en-GB"/>
              </w:rPr>
              <w:t>E</w:t>
            </w:r>
            <w:r w:rsidRPr="00C62B49">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048C9223" w14:textId="77777777" w:rsidR="00A343F3" w:rsidRPr="00C62B49" w:rsidRDefault="00A343F3" w:rsidP="004332F3">
            <w:pPr>
              <w:spacing w:after="0" w:line="240" w:lineRule="auto"/>
              <w:jc w:val="center"/>
              <w:rPr>
                <w:rFonts w:ascii="Times New Roman" w:eastAsia="Times New Roman" w:hAnsi="Times New Roman" w:cs="Times New Roman"/>
                <w:b/>
                <w:bCs/>
                <w:color w:val="000000"/>
                <w:sz w:val="24"/>
                <w:szCs w:val="24"/>
                <w:lang w:val="en-GB"/>
              </w:rPr>
            </w:pPr>
          </w:p>
        </w:tc>
      </w:tr>
      <w:tr w:rsidR="00A343F3" w:rsidRPr="00C62B49" w14:paraId="1C9BFD8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2D0292A1"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100%</w:t>
            </w:r>
          </w:p>
        </w:tc>
        <w:tc>
          <w:tcPr>
            <w:tcW w:w="1418" w:type="dxa"/>
            <w:tcBorders>
              <w:top w:val="nil"/>
              <w:left w:val="nil"/>
              <w:bottom w:val="single" w:sz="4" w:space="0" w:color="auto"/>
              <w:right w:val="single" w:sz="4" w:space="0" w:color="auto"/>
            </w:tcBorders>
            <w:shd w:val="clear" w:color="auto" w:fill="auto"/>
            <w:noWrap/>
            <w:vAlign w:val="center"/>
            <w:hideMark/>
          </w:tcPr>
          <w:p w14:paraId="56BFF4E4" w14:textId="77777777" w:rsidR="00495249" w:rsidRPr="00C62B49" w:rsidRDefault="002B70AC">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1</w:t>
            </w:r>
          </w:p>
        </w:tc>
      </w:tr>
      <w:tr w:rsidR="00A343F3" w:rsidRPr="00C62B49" w14:paraId="53C7EA83"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1D22B6D5"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70%</w:t>
            </w:r>
          </w:p>
        </w:tc>
        <w:tc>
          <w:tcPr>
            <w:tcW w:w="1418" w:type="dxa"/>
            <w:tcBorders>
              <w:top w:val="nil"/>
              <w:left w:val="nil"/>
              <w:bottom w:val="single" w:sz="4" w:space="0" w:color="auto"/>
              <w:right w:val="single" w:sz="4" w:space="0" w:color="auto"/>
            </w:tcBorders>
            <w:shd w:val="clear" w:color="auto" w:fill="auto"/>
            <w:noWrap/>
            <w:vAlign w:val="center"/>
          </w:tcPr>
          <w:p w14:paraId="57CCC159" w14:textId="77777777" w:rsidR="00495249" w:rsidRPr="00C62B49" w:rsidRDefault="002B70AC">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2</w:t>
            </w:r>
          </w:p>
        </w:tc>
      </w:tr>
      <w:tr w:rsidR="00A343F3" w:rsidRPr="00C62B49" w14:paraId="55127BE9"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65226778"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50%</w:t>
            </w:r>
          </w:p>
        </w:tc>
        <w:tc>
          <w:tcPr>
            <w:tcW w:w="1418" w:type="dxa"/>
            <w:tcBorders>
              <w:top w:val="nil"/>
              <w:left w:val="nil"/>
              <w:bottom w:val="single" w:sz="4" w:space="0" w:color="auto"/>
              <w:right w:val="single" w:sz="4" w:space="0" w:color="auto"/>
            </w:tcBorders>
            <w:shd w:val="clear" w:color="auto" w:fill="auto"/>
            <w:noWrap/>
            <w:vAlign w:val="center"/>
            <w:hideMark/>
          </w:tcPr>
          <w:p w14:paraId="73E85543" w14:textId="77777777" w:rsidR="00495249" w:rsidRPr="00C62B49" w:rsidRDefault="002B70AC">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3</w:t>
            </w:r>
          </w:p>
        </w:tc>
      </w:tr>
      <w:tr w:rsidR="00A343F3" w:rsidRPr="00C62B49" w14:paraId="2FAFA49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331BD00B"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30%</w:t>
            </w:r>
          </w:p>
        </w:tc>
        <w:tc>
          <w:tcPr>
            <w:tcW w:w="1418" w:type="dxa"/>
            <w:tcBorders>
              <w:top w:val="nil"/>
              <w:left w:val="nil"/>
              <w:bottom w:val="single" w:sz="4" w:space="0" w:color="auto"/>
              <w:right w:val="single" w:sz="4" w:space="0" w:color="auto"/>
            </w:tcBorders>
            <w:shd w:val="clear" w:color="auto" w:fill="auto"/>
            <w:noWrap/>
            <w:vAlign w:val="center"/>
            <w:hideMark/>
          </w:tcPr>
          <w:p w14:paraId="4D0914A1" w14:textId="77777777" w:rsidR="00495249" w:rsidRPr="00C62B49" w:rsidRDefault="002B70AC">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5</w:t>
            </w:r>
          </w:p>
        </w:tc>
      </w:tr>
      <w:tr w:rsidR="00A343F3" w:rsidRPr="00C62B49" w14:paraId="137F2801"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70694E22"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No advance payment</w:t>
            </w:r>
          </w:p>
        </w:tc>
        <w:tc>
          <w:tcPr>
            <w:tcW w:w="1418" w:type="dxa"/>
            <w:tcBorders>
              <w:top w:val="nil"/>
              <w:left w:val="nil"/>
              <w:bottom w:val="single" w:sz="4" w:space="0" w:color="auto"/>
              <w:right w:val="single" w:sz="4" w:space="0" w:color="auto"/>
            </w:tcBorders>
            <w:shd w:val="clear" w:color="auto" w:fill="auto"/>
            <w:noWrap/>
            <w:vAlign w:val="center"/>
            <w:hideMark/>
          </w:tcPr>
          <w:p w14:paraId="12E772E7" w14:textId="77777777" w:rsidR="00495249" w:rsidRPr="00C62B49" w:rsidRDefault="002B70AC">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10</w:t>
            </w:r>
          </w:p>
        </w:tc>
      </w:tr>
      <w:tr w:rsidR="00A343F3" w:rsidRPr="00C62B49" w14:paraId="420CEBF5"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2FC7D5" w14:textId="77777777" w:rsidR="00495249" w:rsidRPr="00C62B49" w:rsidRDefault="002B70AC">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K2.2 Payment term after delivery</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48120DE5" w14:textId="77777777" w:rsidR="00495249" w:rsidRPr="00C62B49" w:rsidRDefault="002B70AC">
            <w:pPr>
              <w:spacing w:after="0" w:line="240" w:lineRule="auto"/>
              <w:jc w:val="center"/>
              <w:rPr>
                <w:rFonts w:ascii="Times New Roman" w:eastAsia="Times New Roman" w:hAnsi="Times New Roman" w:cs="Times New Roman"/>
                <w:b/>
                <w:color w:val="000000"/>
                <w:sz w:val="24"/>
                <w:szCs w:val="24"/>
                <w:lang w:val="en-GB"/>
              </w:rPr>
            </w:pPr>
            <w:r w:rsidRPr="00C62B49">
              <w:rPr>
                <w:rFonts w:ascii="Times New Roman" w:eastAsia="Times New Roman" w:hAnsi="Times New Roman" w:cs="Times New Roman"/>
                <w:b/>
                <w:color w:val="000000" w:themeColor="text1"/>
                <w:sz w:val="24"/>
                <w:szCs w:val="24"/>
                <w:lang w:val="en-GB"/>
              </w:rPr>
              <w:t>Points</w:t>
            </w:r>
          </w:p>
        </w:tc>
      </w:tr>
      <w:tr w:rsidR="00A343F3" w:rsidRPr="00C62B49" w14:paraId="57336DF2"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7ABEA06" w14:textId="635BD95B" w:rsidR="00495249" w:rsidRPr="00C62B49" w:rsidRDefault="002B70AC">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Calibri" w:hAnsi="Times New Roman" w:cs="Times New Roman"/>
                <w:sz w:val="24"/>
                <w:szCs w:val="24"/>
                <w:lang w:val="en-GB"/>
              </w:rPr>
              <w:t>The relative weight of sub-indicator K2.2 is 1/2 of the weight of indicator K2 or 10% weight in the C</w:t>
            </w:r>
            <w:r w:rsidR="00E654D3">
              <w:rPr>
                <w:rFonts w:ascii="Times New Roman" w:eastAsia="Calibri" w:hAnsi="Times New Roman" w:cs="Times New Roman"/>
                <w:sz w:val="24"/>
                <w:szCs w:val="24"/>
                <w:lang w:val="en-GB"/>
              </w:rPr>
              <w:t>E</w:t>
            </w:r>
            <w:r w:rsidRPr="00C62B49">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104C3900" w14:textId="77777777" w:rsidR="00A343F3" w:rsidRPr="00C62B49" w:rsidRDefault="00A343F3" w:rsidP="004332F3">
            <w:pPr>
              <w:spacing w:after="0" w:line="240" w:lineRule="auto"/>
              <w:jc w:val="center"/>
              <w:rPr>
                <w:rFonts w:ascii="Times New Roman" w:eastAsia="Times New Roman" w:hAnsi="Times New Roman" w:cs="Times New Roman"/>
                <w:b/>
                <w:color w:val="000000"/>
                <w:sz w:val="24"/>
                <w:szCs w:val="24"/>
                <w:lang w:val="en-GB"/>
              </w:rPr>
            </w:pPr>
          </w:p>
        </w:tc>
      </w:tr>
      <w:tr w:rsidR="00A343F3" w:rsidRPr="00C62B49" w14:paraId="791E74E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93DCE3C" w14:textId="77777777" w:rsidR="00495249" w:rsidRPr="00C62B49" w:rsidRDefault="002B70AC">
            <w:pPr>
              <w:spacing w:line="240" w:lineRule="auto"/>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0 days with 100% advance payment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731D968E" w14:textId="77777777" w:rsidR="00495249" w:rsidRPr="00C62B49" w:rsidRDefault="002B70AC">
            <w:pPr>
              <w:spacing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0</w:t>
            </w:r>
          </w:p>
        </w:tc>
      </w:tr>
      <w:tr w:rsidR="00A343F3" w:rsidRPr="00C62B49" w14:paraId="13A68796"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5125BFB8"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themeColor="text1"/>
                <w:sz w:val="24"/>
                <w:szCs w:val="24"/>
                <w:lang w:val="en-GB"/>
              </w:rPr>
              <w:t xml:space="preserve">over 5 days </w:t>
            </w:r>
          </w:p>
        </w:tc>
        <w:tc>
          <w:tcPr>
            <w:tcW w:w="1418" w:type="dxa"/>
            <w:tcBorders>
              <w:top w:val="nil"/>
              <w:left w:val="nil"/>
              <w:bottom w:val="single" w:sz="4" w:space="0" w:color="auto"/>
              <w:right w:val="single" w:sz="4" w:space="0" w:color="auto"/>
            </w:tcBorders>
            <w:shd w:val="clear" w:color="auto" w:fill="auto"/>
            <w:noWrap/>
            <w:vAlign w:val="center"/>
            <w:hideMark/>
          </w:tcPr>
          <w:p w14:paraId="3038D2AE" w14:textId="77777777" w:rsidR="00495249" w:rsidRPr="00C62B49" w:rsidRDefault="002B70AC">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w:t>
            </w:r>
          </w:p>
        </w:tc>
      </w:tr>
      <w:tr w:rsidR="00A343F3" w:rsidRPr="00C62B49" w14:paraId="0817460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0EF73914" w14:textId="77777777" w:rsidR="00495249" w:rsidRPr="00C62B49" w:rsidRDefault="002B70AC">
            <w:pPr>
              <w:spacing w:after="0" w:line="240" w:lineRule="auto"/>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over 10 days</w:t>
            </w:r>
          </w:p>
        </w:tc>
        <w:tc>
          <w:tcPr>
            <w:tcW w:w="1418" w:type="dxa"/>
            <w:tcBorders>
              <w:top w:val="nil"/>
              <w:left w:val="nil"/>
              <w:bottom w:val="single" w:sz="4" w:space="0" w:color="auto"/>
              <w:right w:val="single" w:sz="4" w:space="0" w:color="auto"/>
            </w:tcBorders>
            <w:shd w:val="clear" w:color="auto" w:fill="auto"/>
            <w:noWrap/>
            <w:vAlign w:val="center"/>
            <w:hideMark/>
          </w:tcPr>
          <w:p w14:paraId="3D555BE7" w14:textId="77777777" w:rsidR="00495249" w:rsidRPr="00C62B49" w:rsidRDefault="002B70AC">
            <w:pPr>
              <w:spacing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2</w:t>
            </w:r>
          </w:p>
        </w:tc>
      </w:tr>
      <w:tr w:rsidR="00A343F3" w:rsidRPr="00C62B49" w14:paraId="2C6912B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0EB38A22"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themeColor="text1"/>
                <w:sz w:val="24"/>
                <w:szCs w:val="24"/>
                <w:lang w:val="en-GB"/>
              </w:rPr>
              <w:t xml:space="preserve">over 15 days </w:t>
            </w:r>
          </w:p>
        </w:tc>
        <w:tc>
          <w:tcPr>
            <w:tcW w:w="1418" w:type="dxa"/>
            <w:tcBorders>
              <w:top w:val="nil"/>
              <w:left w:val="nil"/>
              <w:bottom w:val="single" w:sz="4" w:space="0" w:color="auto"/>
              <w:right w:val="single" w:sz="4" w:space="0" w:color="auto"/>
            </w:tcBorders>
            <w:shd w:val="clear" w:color="auto" w:fill="auto"/>
            <w:noWrap/>
            <w:vAlign w:val="center"/>
            <w:hideMark/>
          </w:tcPr>
          <w:p w14:paraId="18C6EC55" w14:textId="77777777" w:rsidR="00495249" w:rsidRPr="00C62B49" w:rsidRDefault="002B70AC">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3</w:t>
            </w:r>
          </w:p>
        </w:tc>
      </w:tr>
      <w:tr w:rsidR="00A343F3" w:rsidRPr="00C62B49" w14:paraId="21F4690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22653247" w14:textId="77777777" w:rsidR="00495249" w:rsidRPr="00C62B49" w:rsidRDefault="002B70AC">
            <w:pPr>
              <w:spacing w:after="0" w:line="240" w:lineRule="auto"/>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over 20 days </w:t>
            </w:r>
          </w:p>
        </w:tc>
        <w:tc>
          <w:tcPr>
            <w:tcW w:w="1418" w:type="dxa"/>
            <w:tcBorders>
              <w:top w:val="nil"/>
              <w:left w:val="nil"/>
              <w:bottom w:val="single" w:sz="4" w:space="0" w:color="auto"/>
              <w:right w:val="single" w:sz="4" w:space="0" w:color="auto"/>
            </w:tcBorders>
            <w:shd w:val="clear" w:color="auto" w:fill="auto"/>
            <w:noWrap/>
            <w:vAlign w:val="center"/>
          </w:tcPr>
          <w:p w14:paraId="1F468684" w14:textId="77777777" w:rsidR="00495249" w:rsidRPr="00C62B49" w:rsidRDefault="002B70AC">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5</w:t>
            </w:r>
          </w:p>
        </w:tc>
      </w:tr>
      <w:tr w:rsidR="00A343F3" w:rsidRPr="00C62B49" w14:paraId="17843A5F"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6FA33CAF" w14:textId="77777777" w:rsidR="00495249" w:rsidRPr="00C62B49" w:rsidRDefault="002B70AC">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over 25 days</w:t>
            </w:r>
          </w:p>
        </w:tc>
        <w:tc>
          <w:tcPr>
            <w:tcW w:w="1418" w:type="dxa"/>
            <w:tcBorders>
              <w:top w:val="nil"/>
              <w:left w:val="nil"/>
              <w:bottom w:val="single" w:sz="4" w:space="0" w:color="auto"/>
              <w:right w:val="single" w:sz="4" w:space="0" w:color="auto"/>
            </w:tcBorders>
            <w:shd w:val="clear" w:color="auto" w:fill="auto"/>
            <w:noWrap/>
            <w:vAlign w:val="center"/>
            <w:hideMark/>
          </w:tcPr>
          <w:p w14:paraId="645BF165" w14:textId="77777777" w:rsidR="00495249" w:rsidRPr="00C62B49" w:rsidRDefault="002B70AC">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10</w:t>
            </w:r>
          </w:p>
        </w:tc>
      </w:tr>
    </w:tbl>
    <w:p w14:paraId="46C01398"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51BC9A31" w14:textId="77777777" w:rsidR="00A343F3" w:rsidRPr="00C62B49" w:rsidRDefault="00A343F3" w:rsidP="00A343F3">
      <w:pPr>
        <w:spacing w:after="0" w:line="240" w:lineRule="auto"/>
        <w:ind w:firstLine="720"/>
        <w:jc w:val="both"/>
        <w:rPr>
          <w:rFonts w:ascii="Times New Roman" w:eastAsia="Calibri" w:hAnsi="Times New Roman" w:cs="Times New Roman"/>
          <w:sz w:val="24"/>
          <w:szCs w:val="24"/>
          <w:lang w:val="en-GB"/>
        </w:rPr>
      </w:pPr>
    </w:p>
    <w:p w14:paraId="36489838" w14:textId="2D62B708" w:rsidR="00495249" w:rsidRPr="00C62B49" w:rsidRDefault="002B70AC">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final ranking of the admissible tenders shall be carried out in descending order on the basis of the overall score obtained for each </w:t>
      </w:r>
      <w:r w:rsidR="00E654D3">
        <w:rPr>
          <w:rFonts w:ascii="Times New Roman" w:eastAsia="Calibri" w:hAnsi="Times New Roman" w:cs="Times New Roman"/>
          <w:sz w:val="24"/>
          <w:szCs w:val="24"/>
          <w:lang w:val="en-GB"/>
        </w:rPr>
        <w:t>bid</w:t>
      </w:r>
      <w:r w:rsidRPr="00C62B49">
        <w:rPr>
          <w:rFonts w:ascii="Times New Roman" w:eastAsia="Calibri" w:hAnsi="Times New Roman" w:cs="Times New Roman"/>
          <w:sz w:val="24"/>
          <w:szCs w:val="24"/>
          <w:lang w:val="en-GB"/>
        </w:rPr>
        <w:t xml:space="preserve">. First place shall be awarded to the tenderer whose </w:t>
      </w:r>
      <w:r w:rsidR="00E654D3">
        <w:rPr>
          <w:rFonts w:ascii="Times New Roman" w:eastAsia="Calibri" w:hAnsi="Times New Roman" w:cs="Times New Roman"/>
          <w:sz w:val="24"/>
          <w:szCs w:val="24"/>
          <w:lang w:val="en-GB"/>
        </w:rPr>
        <w:t>bid</w:t>
      </w:r>
      <w:r w:rsidRPr="00C62B49">
        <w:rPr>
          <w:rFonts w:ascii="Times New Roman" w:eastAsia="Calibri" w:hAnsi="Times New Roman" w:cs="Times New Roman"/>
          <w:sz w:val="24"/>
          <w:szCs w:val="24"/>
          <w:lang w:val="en-GB"/>
        </w:rPr>
        <w:t xml:space="preserve"> has received the highest overall assessment (highest number of points). </w:t>
      </w:r>
    </w:p>
    <w:p w14:paraId="1A045EBC" w14:textId="77777777" w:rsidR="00495249" w:rsidRPr="00C62B49" w:rsidRDefault="002B70AC">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Where the aggregate marks of two or more tenders are equal, the tender containing the more advantageous proposals, evaluated in the following order, shall prevail: </w:t>
      </w:r>
    </w:p>
    <w:p w14:paraId="34B3033A" w14:textId="67620093" w:rsidR="00495249" w:rsidRPr="00C62B49" w:rsidRDefault="002B70AC">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 lower offered price - at higher offered discount in EUR per MWh to TTF front month </w:t>
      </w:r>
      <w:r>
        <w:rPr>
          <w:rFonts w:ascii="Times New Roman" w:eastAsia="Calibri" w:hAnsi="Times New Roman" w:cs="Times New Roman"/>
          <w:sz w:val="24"/>
          <w:szCs w:val="24"/>
          <w:lang w:val="en-GB"/>
        </w:rPr>
        <w:t>December</w:t>
      </w:r>
      <w:r w:rsidRPr="00C62B49">
        <w:rPr>
          <w:rFonts w:ascii="Times New Roman" w:eastAsia="Calibri" w:hAnsi="Times New Roman" w:cs="Times New Roman"/>
          <w:sz w:val="24"/>
          <w:szCs w:val="24"/>
          <w:lang w:val="en-GB"/>
        </w:rPr>
        <w:t xml:space="preserve">; </w:t>
      </w:r>
    </w:p>
    <w:p w14:paraId="6DFEDBF2" w14:textId="6EB638E3" w:rsidR="004E28F9" w:rsidRDefault="002B70AC" w:rsidP="004E28F9">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 more </w:t>
      </w:r>
      <w:r w:rsidR="00E654D3" w:rsidRPr="00C62B49">
        <w:rPr>
          <w:rFonts w:ascii="Times New Roman" w:eastAsia="Calibri" w:hAnsi="Times New Roman" w:cs="Times New Roman"/>
          <w:sz w:val="24"/>
          <w:szCs w:val="24"/>
          <w:lang w:val="en-GB"/>
        </w:rPr>
        <w:t>favourable</w:t>
      </w:r>
      <w:r w:rsidRPr="00C62B49">
        <w:rPr>
          <w:rFonts w:ascii="Times New Roman" w:eastAsia="Calibri" w:hAnsi="Times New Roman" w:cs="Times New Roman"/>
          <w:sz w:val="24"/>
          <w:szCs w:val="24"/>
          <w:lang w:val="en-GB"/>
        </w:rPr>
        <w:t xml:space="preserve"> payment terms.</w:t>
      </w:r>
    </w:p>
    <w:p w14:paraId="35A15A07" w14:textId="77777777" w:rsidR="004E28F9" w:rsidRPr="00C62B49" w:rsidRDefault="004E28F9">
      <w:pPr>
        <w:spacing w:after="0" w:line="240" w:lineRule="auto"/>
        <w:ind w:firstLine="720"/>
        <w:jc w:val="both"/>
        <w:rPr>
          <w:rFonts w:ascii="Times New Roman" w:eastAsia="Calibri" w:hAnsi="Times New Roman" w:cs="Times New Roman"/>
          <w:sz w:val="24"/>
          <w:szCs w:val="24"/>
          <w:lang w:val="en-GB"/>
        </w:rPr>
      </w:pPr>
    </w:p>
    <w:p w14:paraId="0A079982" w14:textId="77777777" w:rsidR="004E28F9" w:rsidRPr="00F80FFA" w:rsidRDefault="004E28F9" w:rsidP="004E28F9">
      <w:pPr>
        <w:pStyle w:val="ListParagraph"/>
        <w:numPr>
          <w:ilvl w:val="0"/>
          <w:numId w:val="3"/>
        </w:numPr>
        <w:ind w:hanging="1440"/>
        <w:rPr>
          <w:rFonts w:ascii="Times New Roman" w:eastAsia="Calibri" w:hAnsi="Times New Roman" w:cs="Times New Roman"/>
          <w:b/>
          <w:bCs/>
          <w:sz w:val="24"/>
          <w:szCs w:val="24"/>
          <w:lang w:val="en-GB"/>
        </w:rPr>
      </w:pPr>
      <w:r w:rsidRPr="00F80FFA">
        <w:rPr>
          <w:rFonts w:ascii="Times New Roman" w:eastAsia="Calibri" w:hAnsi="Times New Roman" w:cs="Times New Roman"/>
          <w:b/>
          <w:bCs/>
          <w:sz w:val="24"/>
          <w:szCs w:val="24"/>
          <w:lang w:val="en-GB"/>
        </w:rPr>
        <w:t xml:space="preserve">Evaluation of </w:t>
      </w:r>
      <w:r>
        <w:rPr>
          <w:rFonts w:ascii="Times New Roman" w:eastAsia="Calibri" w:hAnsi="Times New Roman" w:cs="Times New Roman"/>
          <w:b/>
          <w:bCs/>
          <w:sz w:val="24"/>
          <w:szCs w:val="24"/>
          <w:lang w:val="en-GB"/>
        </w:rPr>
        <w:t>bids</w:t>
      </w:r>
      <w:r w:rsidRPr="00F80FFA">
        <w:rPr>
          <w:rFonts w:ascii="Times New Roman" w:eastAsia="Calibri" w:hAnsi="Times New Roman" w:cs="Times New Roman"/>
          <w:b/>
          <w:bCs/>
          <w:sz w:val="24"/>
          <w:szCs w:val="24"/>
          <w:lang w:val="en-GB"/>
        </w:rPr>
        <w:t xml:space="preserve"> received for a regasification and storage slot</w:t>
      </w:r>
    </w:p>
    <w:p w14:paraId="6098D755" w14:textId="77777777" w:rsidR="004E28F9" w:rsidRPr="009A0BED" w:rsidRDefault="004E28F9" w:rsidP="004E28F9">
      <w:pPr>
        <w:pStyle w:val="ListParagraph"/>
        <w:ind w:left="1440" w:firstLine="0"/>
        <w:rPr>
          <w:rFonts w:ascii="Times New Roman" w:eastAsia="Calibri" w:hAnsi="Times New Roman" w:cs="Times New Roman"/>
          <w:sz w:val="24"/>
          <w:szCs w:val="24"/>
          <w:lang w:val="en-GB"/>
        </w:rPr>
      </w:pPr>
    </w:p>
    <w:p w14:paraId="6289C02D" w14:textId="77777777" w:rsidR="004E28F9" w:rsidRPr="00F80FFA" w:rsidRDefault="004E28F9" w:rsidP="004E28F9">
      <w:pPr>
        <w:pStyle w:val="ListParagraph"/>
        <w:ind w:left="0" w:firstLine="0"/>
        <w:rPr>
          <w:rFonts w:ascii="Times New Roman" w:eastAsia="Calibri" w:hAnsi="Times New Roman" w:cs="Times New Roman"/>
          <w:sz w:val="24"/>
          <w:szCs w:val="24"/>
          <w:lang w:val="en-GB"/>
        </w:rPr>
      </w:pPr>
      <w:r w:rsidRPr="009A0BED">
        <w:rPr>
          <w:rFonts w:ascii="Times New Roman" w:eastAsia="Calibri" w:hAnsi="Times New Roman" w:cs="Times New Roman"/>
          <w:sz w:val="24"/>
          <w:szCs w:val="24"/>
          <w:lang w:val="en-GB"/>
        </w:rPr>
        <w:t xml:space="preserve">Ranking of bids submitted for regasification and storage slots will be done on a price per MWh basis.  The bid with the lowest </w:t>
      </w:r>
      <w:r>
        <w:rPr>
          <w:rFonts w:ascii="Times New Roman" w:eastAsia="Calibri" w:hAnsi="Times New Roman" w:cs="Times New Roman"/>
          <w:sz w:val="24"/>
          <w:szCs w:val="24"/>
          <w:lang w:val="en-GB"/>
        </w:rPr>
        <w:t>price</w:t>
      </w:r>
      <w:r w:rsidRPr="009A0BED">
        <w:rPr>
          <w:rFonts w:ascii="Times New Roman" w:eastAsia="Calibri" w:hAnsi="Times New Roman" w:cs="Times New Roman"/>
          <w:sz w:val="24"/>
          <w:szCs w:val="24"/>
          <w:lang w:val="en-GB"/>
        </w:rPr>
        <w:t xml:space="preserve"> per MWh will be considered the best bid for the slot.</w:t>
      </w:r>
    </w:p>
    <w:p w14:paraId="53FBEF83" w14:textId="77777777" w:rsidR="00FC4EF1" w:rsidRPr="00C62B49" w:rsidRDefault="00FC4EF1">
      <w:pPr>
        <w:rPr>
          <w:lang w:val="en-GB"/>
        </w:rPr>
      </w:pPr>
    </w:p>
    <w:sectPr w:rsidR="00FC4EF1" w:rsidRPr="00C62B49" w:rsidSect="00213F87">
      <w:headerReference w:type="default" r:id="rId7"/>
      <w:pgSz w:w="12240" w:h="15840"/>
      <w:pgMar w:top="1134"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F2AE" w14:textId="77777777" w:rsidR="00BC356B" w:rsidRDefault="00BC356B" w:rsidP="00A343F3">
      <w:pPr>
        <w:spacing w:after="0" w:line="240" w:lineRule="auto"/>
      </w:pPr>
      <w:r>
        <w:separator/>
      </w:r>
    </w:p>
  </w:endnote>
  <w:endnote w:type="continuationSeparator" w:id="0">
    <w:p w14:paraId="5A073A8D" w14:textId="77777777" w:rsidR="00BC356B" w:rsidRDefault="00BC356B" w:rsidP="00A3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25BD" w14:textId="77777777" w:rsidR="00BC356B" w:rsidRDefault="00BC356B" w:rsidP="00A343F3">
      <w:pPr>
        <w:spacing w:after="0" w:line="240" w:lineRule="auto"/>
      </w:pPr>
      <w:r>
        <w:separator/>
      </w:r>
    </w:p>
  </w:footnote>
  <w:footnote w:type="continuationSeparator" w:id="0">
    <w:p w14:paraId="03126FB7" w14:textId="77777777" w:rsidR="00BC356B" w:rsidRDefault="00BC356B" w:rsidP="00A3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14CC" w14:textId="1CE02B59" w:rsidR="00495249" w:rsidRPr="00C62B49" w:rsidRDefault="002B70AC">
    <w:pPr>
      <w:pStyle w:val="Header"/>
      <w:jc w:val="center"/>
      <w:rPr>
        <w:sz w:val="20"/>
        <w:szCs w:val="20"/>
      </w:rPr>
    </w:pPr>
    <w:r w:rsidRPr="00213F87">
      <w:rPr>
        <w:rFonts w:ascii="Times New Roman" w:hAnsi="Times New Roman" w:cs="Times New Roman"/>
        <w:i/>
        <w:iCs/>
        <w:sz w:val="20"/>
        <w:szCs w:val="20"/>
        <w:lang w:val="bg-BG"/>
      </w:rPr>
      <w:t xml:space="preserve">Annex </w:t>
    </w:r>
    <w:r w:rsidR="00C745AE">
      <w:rPr>
        <w:rFonts w:ascii="Times New Roman" w:hAnsi="Times New Roman" w:cs="Times New Roman"/>
        <w:i/>
        <w:iCs/>
        <w:sz w:val="20"/>
        <w:szCs w:val="20"/>
        <w:lang w:val="bg-BG"/>
      </w:rPr>
      <w:t xml:space="preserve">3 </w:t>
    </w:r>
    <w:r w:rsidR="00213F87" w:rsidRPr="00213F87">
      <w:rPr>
        <w:rFonts w:ascii="Times New Roman" w:eastAsia="Calibri" w:hAnsi="Times New Roman" w:cs="Times New Roman"/>
        <w:i/>
        <w:iCs/>
        <w:sz w:val="20"/>
        <w:szCs w:val="20"/>
        <w:lang w:val="bg-BG"/>
      </w:rPr>
      <w:t xml:space="preserve">Methodology for determining the complex evaluation of </w:t>
    </w:r>
    <w:r w:rsidR="00C62B49">
      <w:rPr>
        <w:rFonts w:ascii="Times New Roman" w:eastAsia="Calibri" w:hAnsi="Times New Roman" w:cs="Times New Roman"/>
        <w:i/>
        <w:iCs/>
        <w:sz w:val="20"/>
        <w:szCs w:val="20"/>
      </w:rPr>
      <w:t>bids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E45"/>
    <w:multiLevelType w:val="hybridMultilevel"/>
    <w:tmpl w:val="B8648604"/>
    <w:lvl w:ilvl="0" w:tplc="B888ED68">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917328688">
    <w:abstractNumId w:val="2"/>
  </w:num>
  <w:num w:numId="2" w16cid:durableId="2128115490">
    <w:abstractNumId w:val="1"/>
  </w:num>
  <w:num w:numId="3" w16cid:durableId="48405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46355"/>
    <w:rsid w:val="0012548A"/>
    <w:rsid w:val="00141562"/>
    <w:rsid w:val="00200C33"/>
    <w:rsid w:val="002116C6"/>
    <w:rsid w:val="00213F87"/>
    <w:rsid w:val="002B70AC"/>
    <w:rsid w:val="00495249"/>
    <w:rsid w:val="004E28F9"/>
    <w:rsid w:val="007213A6"/>
    <w:rsid w:val="008546CD"/>
    <w:rsid w:val="00880FB9"/>
    <w:rsid w:val="00A271CB"/>
    <w:rsid w:val="00A343F3"/>
    <w:rsid w:val="00BC356B"/>
    <w:rsid w:val="00BC5D7D"/>
    <w:rsid w:val="00C37DDD"/>
    <w:rsid w:val="00C62B49"/>
    <w:rsid w:val="00C745AE"/>
    <w:rsid w:val="00C85685"/>
    <w:rsid w:val="00E654D3"/>
    <w:rsid w:val="00EC083D"/>
    <w:rsid w:val="00F65CE0"/>
    <w:rsid w:val="00FC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8D4FF8F4-5486-4722-A532-564E4177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cp:keywords>, docId:21F240F5BFC5B4E685E85728340E2866</cp:keywords>
  <dc:description/>
  <cp:lastModifiedBy>Kiril Mitsev</cp:lastModifiedBy>
  <cp:revision>10</cp:revision>
  <dcterms:created xsi:type="dcterms:W3CDTF">2022-09-20T04:49:00Z</dcterms:created>
  <dcterms:modified xsi:type="dcterms:W3CDTF">2022-09-20T13:38:00Z</dcterms:modified>
</cp:coreProperties>
</file>